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221" w:rsidRPr="00E42755" w:rsidRDefault="00D66221" w:rsidP="00D66221">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VOTO PARTICULAR QUE FORMULA LA COMISIONADA EVA ABAID YAPUR, EN RELACIÓN CON LA RESOLUCIÓN DICTADA POR EL PLENO DEL INSTITUTO DE TRANSPARENCIA, ACCESO A LA INFORMACIÓN PÚBLICA Y PROTECCIÓN DE DATOS PERSONALES DEL ESTAD</w:t>
      </w:r>
      <w:r w:rsidR="0078785E">
        <w:rPr>
          <w:rFonts w:ascii="Palatino Linotype" w:hAnsi="Palatino Linotype" w:cs="Arial"/>
          <w:b/>
        </w:rPr>
        <w:t>O DE MÉXICO Y MUNICIPIOS, EN LA TRIGÉSIMA</w:t>
      </w:r>
      <w:r>
        <w:rPr>
          <w:rFonts w:ascii="Palatino Linotype" w:hAnsi="Palatino Linotype" w:cs="Arial"/>
          <w:b/>
        </w:rPr>
        <w:t xml:space="preserve"> </w:t>
      </w:r>
      <w:r w:rsidRPr="0007653D">
        <w:rPr>
          <w:rFonts w:ascii="Palatino Linotype" w:hAnsi="Palatino Linotype" w:cs="Arial"/>
          <w:b/>
        </w:rPr>
        <w:t xml:space="preserve">SESIÓN ORDINARIA DE </w:t>
      </w:r>
      <w:r w:rsidR="0078785E">
        <w:rPr>
          <w:rFonts w:ascii="Palatino Linotype" w:hAnsi="Palatino Linotype" w:cs="Arial"/>
          <w:b/>
        </w:rPr>
        <w:t>VEINTIDÓS</w:t>
      </w:r>
      <w:r>
        <w:rPr>
          <w:rFonts w:ascii="Palatino Linotype" w:hAnsi="Palatino Linotype" w:cs="Arial"/>
          <w:b/>
        </w:rPr>
        <w:t xml:space="preserve"> DE AGOSTO DE DOS MIL DIECIOCHO</w:t>
      </w:r>
      <w:r w:rsidRPr="0007653D">
        <w:rPr>
          <w:rFonts w:ascii="Palatino Linotype" w:hAnsi="Palatino Linotype" w:cs="Arial"/>
          <w:b/>
        </w:rPr>
        <w:t>, EN EL RECURSO DE REVISIÓN 0</w:t>
      </w:r>
      <w:r w:rsidR="0078785E">
        <w:rPr>
          <w:rFonts w:ascii="Palatino Linotype" w:hAnsi="Palatino Linotype" w:cs="Arial"/>
          <w:b/>
        </w:rPr>
        <w:t>2133</w:t>
      </w:r>
      <w:r>
        <w:rPr>
          <w:rFonts w:ascii="Palatino Linotype" w:hAnsi="Palatino Linotype" w:cs="Arial"/>
          <w:b/>
        </w:rPr>
        <w:t>/INFOEM/IP/RR/2018</w:t>
      </w:r>
      <w:r w:rsidRPr="00E42755">
        <w:rPr>
          <w:rFonts w:ascii="Palatino Linotype" w:eastAsia="Calibri" w:hAnsi="Palatino Linotype" w:cs="Arial"/>
          <w:b/>
          <w:color w:val="000000"/>
        </w:rPr>
        <w:t>.</w:t>
      </w:r>
    </w:p>
    <w:p w:rsidR="00D66221" w:rsidRPr="00E42755" w:rsidRDefault="00D66221" w:rsidP="00D66221">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 xml:space="preserve">respecto de la resolución dictada en el recurso de revisión </w:t>
      </w:r>
      <w:r w:rsidRPr="00E42755">
        <w:rPr>
          <w:rFonts w:ascii="Palatino Linotype" w:eastAsia="Calibri" w:hAnsi="Palatino Linotype" w:cs="Arial"/>
          <w:b/>
          <w:color w:val="000000"/>
        </w:rPr>
        <w:t>0</w:t>
      </w:r>
      <w:r w:rsidR="0078785E">
        <w:rPr>
          <w:rFonts w:ascii="Palatino Linotype" w:eastAsia="Calibri" w:hAnsi="Palatino Linotype" w:cs="Arial"/>
          <w:b/>
          <w:color w:val="000000"/>
        </w:rPr>
        <w:t>2133</w:t>
      </w:r>
      <w:r>
        <w:rPr>
          <w:rFonts w:ascii="Palatino Linotype" w:eastAsia="Calibri" w:hAnsi="Palatino Linotype" w:cs="Arial"/>
          <w:b/>
          <w:color w:val="000000"/>
        </w:rPr>
        <w:t>/</w:t>
      </w:r>
      <w:r w:rsidRPr="00E42755">
        <w:rPr>
          <w:rFonts w:ascii="Palatino Linotype" w:eastAsia="Calibri" w:hAnsi="Palatino Linotype" w:cs="Arial"/>
          <w:b/>
          <w:color w:val="000000"/>
        </w:rPr>
        <w:t>INFOEM/IP/RR/201</w:t>
      </w:r>
      <w:r>
        <w:rPr>
          <w:rFonts w:ascii="Palatino Linotype" w:eastAsia="Calibri" w:hAnsi="Palatino Linotype" w:cs="Arial"/>
          <w:b/>
          <w:color w:val="000000"/>
        </w:rPr>
        <w:t>8</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Pr>
          <w:rFonts w:ascii="Palatino Linotype" w:hAnsi="Palatino Linotype" w:cs="Arial"/>
          <w:b/>
        </w:rPr>
        <w:t>J</w:t>
      </w:r>
      <w:r w:rsidR="0078785E">
        <w:rPr>
          <w:rFonts w:ascii="Palatino Linotype" w:hAnsi="Palatino Linotype" w:cs="Arial"/>
          <w:b/>
        </w:rPr>
        <w:t>OSÉ GUADALUPE LUNA HERNÁNDEZ</w:t>
      </w:r>
      <w:r w:rsidRPr="0007653D">
        <w:rPr>
          <w:rFonts w:ascii="Palatino Linotype" w:hAnsi="Palatino Linotype" w:cs="Arial"/>
        </w:rPr>
        <w:t xml:space="preserve">, </w:t>
      </w:r>
      <w:r>
        <w:rPr>
          <w:rFonts w:ascii="Palatino Linotype" w:hAnsi="Palatino Linotype" w:cs="Arial"/>
        </w:rPr>
        <w:t>que es del tenor siguiente.</w:t>
      </w:r>
    </w:p>
    <w:p w:rsidR="00D66221" w:rsidRDefault="00D66221" w:rsidP="00D66221">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las causas que dieron origen al recurso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tocante a parte de lo ordenado en la resolución correspondiente.</w:t>
      </w:r>
    </w:p>
    <w:p w:rsidR="00D66221" w:rsidRDefault="00D66221" w:rsidP="00D66221">
      <w:pPr>
        <w:spacing w:before="100" w:beforeAutospacing="1" w:after="100" w:afterAutospacing="1" w:line="360" w:lineRule="auto"/>
        <w:jc w:val="both"/>
        <w:rPr>
          <w:rFonts w:ascii="Palatino Linotype" w:hAnsi="Palatino Linotype"/>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Pr>
          <w:rFonts w:ascii="Palatino Linotype" w:hAnsi="Palatino Linotype"/>
        </w:rPr>
        <w:t>el</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 xml:space="preserve">EL SUJETO OBLIGADO, </w:t>
      </w:r>
      <w:r w:rsidR="0078785E">
        <w:rPr>
          <w:rFonts w:ascii="Palatino Linotype" w:hAnsi="Palatino Linotype"/>
        </w:rPr>
        <w:t>el histórico de la aplicación del es</w:t>
      </w:r>
      <w:r w:rsidR="00517DE2">
        <w:rPr>
          <w:rFonts w:ascii="Palatino Linotype" w:hAnsi="Palatino Linotype"/>
        </w:rPr>
        <w:t>tudio de trayectorias.</w:t>
      </w:r>
    </w:p>
    <w:p w:rsidR="00D66221" w:rsidRDefault="00D66221" w:rsidP="00D6622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 xml:space="preserve">Del 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en respuesta adjuntó diversos archivos, mismos que contienen parte de la información solicitada.</w:t>
      </w:r>
    </w:p>
    <w:p w:rsidR="00D66221" w:rsidRPr="00447785" w:rsidRDefault="00D66221" w:rsidP="00D66221">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olor w:val="000000"/>
          <w:lang w:val="es-MX" w:eastAsia="es-MX"/>
        </w:rPr>
        <w:t xml:space="preserve">Inconforme con la respuesta proporcionada, </w:t>
      </w:r>
      <w:r>
        <w:rPr>
          <w:rFonts w:ascii="Palatino Linotype" w:hAnsi="Palatino Linotype"/>
          <w:b/>
          <w:color w:val="000000"/>
          <w:lang w:val="es-MX" w:eastAsia="es-MX"/>
        </w:rPr>
        <w:t>EL 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Pr>
          <w:rFonts w:ascii="Palatino Linotype" w:hAnsi="Palatino Linotype" w:cs="Arial"/>
        </w:rPr>
        <w:t>interpuso el recurso de revisión de mérito.</w:t>
      </w:r>
    </w:p>
    <w:p w:rsidR="00D66221" w:rsidRDefault="00D66221" w:rsidP="00D6622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 xml:space="preserve">el </w:t>
      </w:r>
      <w:r w:rsidRPr="00A01905">
        <w:rPr>
          <w:rFonts w:ascii="Palatino Linotype" w:hAnsi="Palatino Linotype"/>
        </w:rPr>
        <w:t>expediente electrónico</w:t>
      </w:r>
      <w:r>
        <w:rPr>
          <w:rFonts w:ascii="Palatino Linotype" w:hAnsi="Palatino Linotype" w:cs="Arial"/>
        </w:rPr>
        <w:t xml:space="preserve"> la Ponencia Resolutora determinó </w:t>
      </w:r>
      <w:r>
        <w:rPr>
          <w:rFonts w:ascii="Palatino Linotype" w:hAnsi="Palatino Linotype" w:cs="Arial"/>
          <w:b/>
        </w:rPr>
        <w:t xml:space="preserve">MODIFICAR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determinó ordenar la </w:t>
      </w:r>
      <w:r w:rsidR="00611411">
        <w:rPr>
          <w:rFonts w:ascii="Palatino Linotype" w:hAnsi="Palatino Linotype" w:cs="Arial"/>
        </w:rPr>
        <w:t xml:space="preserve">entrega vía SAIMEX de ser el caso en </w:t>
      </w:r>
      <w:r>
        <w:rPr>
          <w:rFonts w:ascii="Palatino Linotype" w:hAnsi="Palatino Linotype" w:cs="Arial"/>
        </w:rPr>
        <w:t xml:space="preserve">versión pública de </w:t>
      </w:r>
      <w:r w:rsidR="00611411">
        <w:rPr>
          <w:rFonts w:ascii="Palatino Linotype" w:hAnsi="Palatino Linotype" w:cs="Arial"/>
        </w:rPr>
        <w:t>la siguiente información:</w:t>
      </w:r>
    </w:p>
    <w:p w:rsidR="00611411" w:rsidRPr="00611411" w:rsidRDefault="00611411" w:rsidP="00611411">
      <w:pPr>
        <w:pStyle w:val="Prrafodelista"/>
        <w:numPr>
          <w:ilvl w:val="0"/>
          <w:numId w:val="2"/>
        </w:numPr>
        <w:shd w:val="clear" w:color="auto" w:fill="FFFFFF"/>
        <w:spacing w:before="240" w:after="240"/>
        <w:ind w:left="993" w:right="899" w:hanging="284"/>
        <w:contextualSpacing/>
        <w:jc w:val="both"/>
        <w:rPr>
          <w:rFonts w:ascii="Palatino Linotype" w:hAnsi="Palatino Linotype" w:cs="Arial"/>
          <w:i/>
        </w:rPr>
      </w:pPr>
      <w:r w:rsidRPr="00611411">
        <w:rPr>
          <w:rFonts w:ascii="Palatino Linotype" w:hAnsi="Palatino Linotype" w:cs="Arial"/>
          <w:i/>
        </w:rPr>
        <w:t>Todos los archivos de estudios de trayectoria realizados en la Universidad Politécnica del Valle de Toluca y sus resultados, del periodo comprendido del 13 de noviembre de 2006 al 14 de mayo de 2018.</w:t>
      </w:r>
    </w:p>
    <w:p w:rsidR="00611411" w:rsidRPr="00611411" w:rsidRDefault="00611411" w:rsidP="00611411">
      <w:pPr>
        <w:ind w:left="993" w:right="899"/>
        <w:jc w:val="both"/>
        <w:rPr>
          <w:rStyle w:val="Ttulo2Car"/>
          <w:rFonts w:ascii="Palatino Linotype" w:hAnsi="Palatino Linotype"/>
          <w:i/>
          <w:color w:val="000000" w:themeColor="text1"/>
          <w:sz w:val="22"/>
          <w:szCs w:val="22"/>
        </w:rPr>
      </w:pPr>
      <w:bookmarkStart w:id="0" w:name="_Toc513198485"/>
      <w:bookmarkStart w:id="1" w:name="_Toc513203709"/>
      <w:bookmarkStart w:id="2" w:name="_Toc513203963"/>
      <w:bookmarkStart w:id="3" w:name="_Toc515555228"/>
      <w:bookmarkStart w:id="4" w:name="_Toc521603610"/>
      <w:bookmarkStart w:id="5" w:name="_Toc521605919"/>
      <w:bookmarkStart w:id="6" w:name="_Toc521949109"/>
      <w:r w:rsidRPr="00611411">
        <w:rPr>
          <w:rStyle w:val="Ttulo2Car"/>
          <w:rFonts w:ascii="Palatino Linotype" w:hAnsi="Palatino Linotype"/>
          <w:i/>
          <w:color w:val="000000" w:themeColor="text1"/>
          <w:sz w:val="22"/>
          <w:szCs w:val="22"/>
        </w:rPr>
        <w:t>Para ello,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Style w:val="Ttulo2Car"/>
          <w:rFonts w:ascii="Palatino Linotype" w:hAnsi="Palatino Linotype"/>
          <w:i/>
          <w:color w:val="000000" w:themeColor="text1"/>
          <w:sz w:val="22"/>
          <w:szCs w:val="22"/>
        </w:rPr>
        <w:t>l Recurrente.</w:t>
      </w:r>
      <w:bookmarkEnd w:id="0"/>
      <w:bookmarkEnd w:id="1"/>
      <w:bookmarkEnd w:id="2"/>
      <w:bookmarkEnd w:id="3"/>
      <w:bookmarkEnd w:id="4"/>
      <w:bookmarkEnd w:id="5"/>
      <w:bookmarkEnd w:id="6"/>
    </w:p>
    <w:p w:rsidR="00D66221" w:rsidRDefault="00D66221" w:rsidP="00D66221">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n ese sentido, la que suscribe reitera, que si bien coincide en</w:t>
      </w:r>
      <w:r>
        <w:rPr>
          <w:rFonts w:ascii="Palatino Linotype" w:hAnsi="Palatino Linotype" w:cs="Arial"/>
          <w:lang w:val="es-MX"/>
        </w:rPr>
        <w:t xml:space="preserve"> con las causas que dieron origen al recurso de revisión de mérito,</w:t>
      </w:r>
      <w:r w:rsidRPr="004F3DBF">
        <w:rPr>
          <w:rFonts w:ascii="Palatino Linotype" w:hAnsi="Palatino Linotype" w:cs="Arial"/>
          <w:lang w:val="es-MX"/>
        </w:rPr>
        <w:t xml:space="preserve"> difiero respecto </w:t>
      </w:r>
      <w:r>
        <w:rPr>
          <w:rFonts w:ascii="Palatino Linotype" w:hAnsi="Palatino Linotype" w:cs="Arial"/>
          <w:lang w:val="es-MX"/>
        </w:rPr>
        <w:t xml:space="preserve">a parte del análisis y respecto de la temporalidad que se ordena en el </w:t>
      </w:r>
      <w:r w:rsidR="00A42D66">
        <w:rPr>
          <w:rFonts w:ascii="Palatino Linotype" w:hAnsi="Palatino Linotype" w:cs="Arial"/>
          <w:lang w:val="es-MX"/>
        </w:rPr>
        <w:t xml:space="preserve">inciso a) </w:t>
      </w:r>
      <w:r>
        <w:rPr>
          <w:rFonts w:ascii="Palatino Linotype" w:hAnsi="Palatino Linotype" w:cs="Arial"/>
          <w:lang w:val="es-MX"/>
        </w:rPr>
        <w:t>del Resolutivo SEGUNDO de la resolución en comento.</w:t>
      </w:r>
    </w:p>
    <w:p w:rsidR="00D66221" w:rsidRDefault="00D66221" w:rsidP="00D66221">
      <w:pPr>
        <w:spacing w:before="100" w:beforeAutospacing="1" w:after="100" w:afterAutospacing="1" w:line="360" w:lineRule="auto"/>
        <w:jc w:val="both"/>
        <w:rPr>
          <w:rFonts w:ascii="Palatino Linotype" w:hAnsi="Palatino Linotype"/>
          <w:lang w:val="es-MX"/>
        </w:rPr>
      </w:pPr>
      <w:r>
        <w:rPr>
          <w:rFonts w:ascii="Palatino Linotype" w:hAnsi="Palatino Linotype" w:cs="Arial"/>
          <w:lang w:val="es-MX"/>
        </w:rPr>
        <w:t xml:space="preserve">Lo anterior es así, ya que el particular no precisó en su solicitud de información la temporalidad respecto de la cual requería la información; por lo que, si bien el hoy </w:t>
      </w:r>
      <w:r>
        <w:rPr>
          <w:rFonts w:ascii="Palatino Linotype" w:hAnsi="Palatino Linotype" w:cs="Arial"/>
          <w:b/>
          <w:lang w:val="es-MX"/>
        </w:rPr>
        <w:lastRenderedPageBreak/>
        <w:t xml:space="preserve">RECURRENTE </w:t>
      </w:r>
      <w:r>
        <w:rPr>
          <w:rFonts w:ascii="Palatino Linotype" w:hAnsi="Palatino Linotype"/>
        </w:rPr>
        <w:t>manifestó que requería el “</w:t>
      </w:r>
      <w:r w:rsidR="00517DE2">
        <w:rPr>
          <w:rFonts w:ascii="Palatino Linotype" w:hAnsi="Palatino Linotype"/>
        </w:rPr>
        <w:t>Histórico</w:t>
      </w:r>
      <w:r>
        <w:rPr>
          <w:rFonts w:ascii="Palatino Linotype" w:hAnsi="Palatino Linotype"/>
        </w:rPr>
        <w:t>”, es decir, ante la falta de certeza jurídica de a qué se refería el solicitante con dicha palabra, es que la Ponencia Resolutora debió advertir en el estudio que la Real Academia Española al respecto puntualiza lo siguiente:</w:t>
      </w:r>
    </w:p>
    <w:p w:rsidR="00D66221" w:rsidRDefault="00D66221" w:rsidP="00D66221">
      <w:pPr>
        <w:pStyle w:val="j"/>
        <w:shd w:val="clear" w:color="auto" w:fill="FFFFFF"/>
        <w:spacing w:beforeAutospacing="0" w:afterAutospacing="0"/>
        <w:ind w:left="851" w:right="902"/>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D66221" w:rsidRDefault="00D66221" w:rsidP="00D66221">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ycomprobada.</w:t>
      </w:r>
    </w:p>
    <w:p w:rsidR="00D66221" w:rsidRDefault="00D66221" w:rsidP="00D66221">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D66221" w:rsidRDefault="00D66221" w:rsidP="00D66221">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D66221" w:rsidRDefault="00D66221" w:rsidP="00D66221">
      <w:pPr>
        <w:spacing w:before="100" w:beforeAutospacing="1" w:after="100" w:afterAutospacing="1" w:line="360" w:lineRule="auto"/>
        <w:jc w:val="both"/>
        <w:rPr>
          <w:rFonts w:ascii="Palatino Linotype" w:hAnsi="Palatino Linotype"/>
        </w:rPr>
      </w:pPr>
      <w:r>
        <w:rPr>
          <w:rFonts w:ascii="Palatino Linotype" w:hAnsi="Palatino Linotype"/>
        </w:rPr>
        <w:t xml:space="preserve">En ese sentido, es que la suscrita considera que la Ponencia Resolutora debió suplir </w:t>
      </w:r>
      <w:r>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Pr>
          <w:rFonts w:ascii="Palatino Linotype" w:hAnsi="Palatino Linotype"/>
        </w:rPr>
        <w:t xml:space="preserve">resultando importante precisar que el Decreto de creación del </w:t>
      </w:r>
      <w:r>
        <w:rPr>
          <w:rFonts w:ascii="Palatino Linotype" w:hAnsi="Palatino Linotype"/>
          <w:b/>
        </w:rPr>
        <w:t xml:space="preserve">SUJETO OBLIGADO </w:t>
      </w:r>
      <w:r>
        <w:rPr>
          <w:rFonts w:ascii="Palatino Linotype" w:hAnsi="Palatino Linotype"/>
        </w:rPr>
        <w:t xml:space="preserve">fue publicado en fecha </w:t>
      </w:r>
      <w:r>
        <w:rPr>
          <w:rFonts w:ascii="Palatino Linotype" w:hAnsi="Palatino Linotype"/>
          <w:b/>
        </w:rPr>
        <w:t>13 de noviembre de 2006,</w:t>
      </w:r>
      <w:r>
        <w:rPr>
          <w:rFonts w:ascii="Palatino Linotype" w:hAnsi="Palatino Linotype"/>
        </w:rPr>
        <w:t xml:space="preserve"> en el Periódico Oficial “Gaceta del Gobierno”; sin embargo, el Plan de Desarrollo Institucional 2012-2017 del propio </w:t>
      </w:r>
      <w:r>
        <w:rPr>
          <w:rFonts w:ascii="Palatino Linotype" w:hAnsi="Palatino Linotype"/>
          <w:b/>
        </w:rPr>
        <w:t xml:space="preserve">SUJETO OBLIGADO </w:t>
      </w:r>
      <w:r>
        <w:rPr>
          <w:rFonts w:ascii="Palatino Linotype" w:hAnsi="Palatino Linotype"/>
        </w:rPr>
        <w:t xml:space="preserve">publicado en </w:t>
      </w:r>
      <w:r>
        <w:rPr>
          <w:rFonts w:ascii="Palatino Linotype" w:hAnsi="Palatino Linotype"/>
          <w:b/>
        </w:rPr>
        <w:t>febrero de 2012</w:t>
      </w:r>
      <w:r>
        <w:rPr>
          <w:rFonts w:ascii="Palatino Linotype" w:hAnsi="Palatino Linotype"/>
        </w:rPr>
        <w:t xml:space="preserve">, señala que la </w:t>
      </w:r>
      <w:r>
        <w:rPr>
          <w:rFonts w:ascii="Palatino Linotype" w:hAnsi="Palatino Linotype"/>
          <w:b/>
        </w:rPr>
        <w:t>Universidad Politécnica del Valle de Toluca inició sus operaciones el 11 de septiembre de 2006</w:t>
      </w:r>
      <w:r>
        <w:rPr>
          <w:rFonts w:ascii="Palatino Linotype" w:hAnsi="Palatino Linotype"/>
        </w:rPr>
        <w:t xml:space="preserve">, con una oferta educativa inicial de diversos programas, por lo que la entrega de información debe comprender desde dicha fecha y a la </w:t>
      </w:r>
      <w:r w:rsidR="0085043C">
        <w:rPr>
          <w:rFonts w:ascii="Palatino Linotype" w:hAnsi="Palatino Linotype"/>
        </w:rPr>
        <w:t>d</w:t>
      </w:r>
      <w:r>
        <w:rPr>
          <w:rFonts w:ascii="Palatino Linotype" w:hAnsi="Palatino Linotype"/>
        </w:rPr>
        <w:t>e presentación de la solicitud de información, es decir, al 14 de mayo de 2018; sirven de sustento, las siguientes imágenes ilustrativas:</w:t>
      </w:r>
    </w:p>
    <w:p w:rsidR="00D66221" w:rsidRDefault="00D66221" w:rsidP="00D66221">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6D98D7BC" wp14:editId="1B992915">
            <wp:extent cx="5505324" cy="6965950"/>
            <wp:effectExtent l="19050" t="19050" r="19685"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3775" cy="6989296"/>
                    </a:xfrm>
                    <a:prstGeom prst="rect">
                      <a:avLst/>
                    </a:prstGeom>
                    <a:noFill/>
                    <a:ln w="9525" cmpd="sng">
                      <a:solidFill>
                        <a:srgbClr val="000000"/>
                      </a:solidFill>
                      <a:miter lim="800000"/>
                      <a:headEnd/>
                      <a:tailEnd/>
                    </a:ln>
                    <a:effectLst/>
                  </pic:spPr>
                </pic:pic>
              </a:graphicData>
            </a:graphic>
          </wp:inline>
        </w:drawing>
      </w:r>
    </w:p>
    <w:p w:rsidR="00D66221" w:rsidRDefault="00D66221" w:rsidP="00D66221">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5DC9BFC0" wp14:editId="1FCE20A3">
            <wp:extent cx="5283200" cy="6926422"/>
            <wp:effectExtent l="19050" t="19050" r="1270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050" cy="6931469"/>
                    </a:xfrm>
                    <a:prstGeom prst="rect">
                      <a:avLst/>
                    </a:prstGeom>
                    <a:noFill/>
                    <a:ln w="9525" cmpd="sng">
                      <a:solidFill>
                        <a:srgbClr val="000000"/>
                      </a:solidFill>
                      <a:miter lim="800000"/>
                      <a:headEnd/>
                      <a:tailEnd/>
                    </a:ln>
                    <a:effectLst/>
                  </pic:spPr>
                </pic:pic>
              </a:graphicData>
            </a:graphic>
          </wp:inline>
        </w:drawing>
      </w:r>
    </w:p>
    <w:p w:rsidR="00D66221" w:rsidRPr="003A25B5"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Por lo que, a criterio de</w:t>
      </w:r>
      <w:r w:rsidRPr="009F03BA">
        <w:rPr>
          <w:rFonts w:ascii="Palatino Linotype" w:hAnsi="Palatino Linotype" w:cs="Arial"/>
        </w:rPr>
        <w:t xml:space="preserve"> </w:t>
      </w:r>
      <w:r>
        <w:rPr>
          <w:rFonts w:ascii="Palatino Linotype" w:hAnsi="Palatino Linotype" w:cs="Arial"/>
        </w:rPr>
        <w:t>la suscrita la Ponencia Resolutora debió</w:t>
      </w:r>
      <w:r w:rsidRPr="009F03BA">
        <w:rPr>
          <w:rFonts w:ascii="Palatino Linotype" w:hAnsi="Palatino Linotype" w:cs="Arial"/>
        </w:rPr>
        <w:t xml:space="preserve"> en</w:t>
      </w:r>
      <w:r>
        <w:rPr>
          <w:rFonts w:ascii="Palatino Linotype" w:hAnsi="Palatino Linotype" w:cs="Arial"/>
        </w:rPr>
        <w:t xml:space="preserve"> cumplimiento a los principios de</w:t>
      </w:r>
      <w:r w:rsidRPr="009C5FF5">
        <w:rPr>
          <w:rFonts w:ascii="Palatino Linotype" w:hAnsi="Palatino Linotype" w:cs="Arial"/>
        </w:rPr>
        <w:t xml:space="preserve"> máxima publicidad</w:t>
      </w:r>
      <w:r>
        <w:rPr>
          <w:rFonts w:ascii="Palatino Linotype" w:hAnsi="Palatino Linotype" w:cs="Arial"/>
        </w:rPr>
        <w:t>,</w:t>
      </w:r>
      <w:r w:rsidRPr="009C5FF5">
        <w:rPr>
          <w:rFonts w:ascii="Palatino Linotype" w:hAnsi="Palatino Linotype" w:cs="Arial"/>
        </w:rPr>
        <w:t xml:space="preserve"> </w:t>
      </w:r>
      <w:r>
        <w:rPr>
          <w:rFonts w:ascii="Palatino Linotype" w:hAnsi="Palatino Linotype" w:cs="Arial"/>
        </w:rPr>
        <w:t xml:space="preserve">exhaustividad y congruencia determinar que la temporalidad de entrega de la información ordenada en el </w:t>
      </w:r>
      <w:r w:rsidR="00A42D66">
        <w:rPr>
          <w:rFonts w:ascii="Palatino Linotype" w:hAnsi="Palatino Linotype" w:cs="Arial"/>
        </w:rPr>
        <w:t>inciso a)</w:t>
      </w:r>
      <w:r>
        <w:rPr>
          <w:rFonts w:ascii="Palatino Linotype" w:hAnsi="Palatino Linotype" w:cs="Arial"/>
        </w:rPr>
        <w:t xml:space="preserve"> del Resolutivo SEGUNDO correspondería del 11 de septiembre de 2006 al 14 de mayo de 2018, ello a fin de garantizar la máxima publicidad y que exista concordancia entre el requerimiento formulado por el particular y lo que se determina ordenar al </w:t>
      </w:r>
      <w:r>
        <w:rPr>
          <w:rFonts w:ascii="Palatino Linotype" w:hAnsi="Palatino Linotype" w:cs="Arial"/>
          <w:b/>
        </w:rPr>
        <w:t xml:space="preserve">SUJETO OBLIGADO </w:t>
      </w:r>
      <w:r>
        <w:rPr>
          <w:rFonts w:ascii="Palatino Linotype" w:hAnsi="Palatino Linotype" w:cs="Arial"/>
        </w:rPr>
        <w:t>haga entrega.</w:t>
      </w:r>
    </w:p>
    <w:p w:rsidR="00D66221" w:rsidRDefault="00D66221" w:rsidP="00D66221">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D66221" w:rsidRPr="00D621C2" w:rsidRDefault="00D66221" w:rsidP="00D66221">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A42D66" w:rsidRDefault="00A42D66" w:rsidP="00D66221">
      <w:pPr>
        <w:ind w:left="851" w:right="899"/>
        <w:jc w:val="both"/>
        <w:rPr>
          <w:rFonts w:ascii="Palatino Linotype" w:hAnsi="Palatino Linotype" w:cs="Arial"/>
          <w:bCs/>
          <w:i/>
          <w:sz w:val="22"/>
        </w:rPr>
      </w:pPr>
    </w:p>
    <w:p w:rsidR="00D66221" w:rsidRDefault="00D66221" w:rsidP="00D66221">
      <w:pPr>
        <w:ind w:left="851" w:right="899"/>
        <w:jc w:val="both"/>
        <w:rPr>
          <w:rFonts w:ascii="Palatino Linotype" w:hAnsi="Palatino Linotype" w:cs="Arial"/>
          <w:b/>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w:t>
      </w:r>
      <w:r w:rsidRPr="006807DD">
        <w:rPr>
          <w:rFonts w:ascii="Palatino Linotype" w:hAnsi="Palatino Linotype" w:cs="Arial"/>
          <w:bCs/>
          <w:i/>
          <w:sz w:val="22"/>
        </w:rPr>
        <w:lastRenderedPageBreak/>
        <w:t>1419/16. Secretaría de Educación Pública. 14 de septiembre de 2016. Por</w:t>
      </w:r>
      <w:r>
        <w:rPr>
          <w:rFonts w:ascii="Palatino Linotype" w:hAnsi="Palatino Linotype" w:cs="Arial"/>
          <w:bCs/>
          <w:i/>
          <w:sz w:val="22"/>
        </w:rPr>
        <w:t xml:space="preserve"> </w:t>
      </w:r>
      <w:r w:rsidRPr="006807DD">
        <w:rPr>
          <w:rFonts w:ascii="Palatino Linotype" w:hAnsi="Palatino Linotype" w:cs="Arial"/>
          <w:bCs/>
          <w:i/>
          <w:sz w:val="22"/>
        </w:rPr>
        <w:t xml:space="preserve">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rsidR="00D66221" w:rsidRDefault="00D66221" w:rsidP="00D66221">
      <w:pPr>
        <w:ind w:left="851" w:right="902"/>
        <w:jc w:val="both"/>
        <w:rPr>
          <w:rFonts w:ascii="Palatino Linotype" w:hAnsi="Palatino Linotype" w:cs="Arial"/>
          <w:bCs/>
          <w:i/>
          <w:sz w:val="22"/>
          <w:lang w:val="es-MX"/>
        </w:rPr>
      </w:pPr>
      <w:r>
        <w:rPr>
          <w:rFonts w:ascii="Palatino Linotype" w:hAnsi="Palatino Linotype" w:cs="Arial"/>
          <w:bCs/>
          <w:i/>
          <w:sz w:val="22"/>
        </w:rPr>
        <w:t xml:space="preserve">Época: Décima Época </w:t>
      </w:r>
      <w:proofErr w:type="gramStart"/>
      <w:r>
        <w:rPr>
          <w:rFonts w:ascii="Palatino Linotype" w:hAnsi="Palatino Linotype" w:cs="Arial"/>
          <w:bCs/>
          <w:i/>
          <w:sz w:val="22"/>
        </w:rPr>
        <w:t>“</w:t>
      </w:r>
      <w:r w:rsidR="00A42D66">
        <w:rPr>
          <w:rFonts w:ascii="Palatino Linotype" w:hAnsi="Palatino Linotype" w:cs="Arial"/>
          <w:bCs/>
          <w:i/>
          <w:sz w:val="22"/>
        </w:rPr>
        <w:t xml:space="preserve"> (</w:t>
      </w:r>
      <w:proofErr w:type="gramEnd"/>
      <w:r w:rsidR="00A42D66">
        <w:rPr>
          <w:rFonts w:ascii="Palatino Linotype" w:hAnsi="Palatino Linotype" w:cs="Arial"/>
          <w:bCs/>
          <w:i/>
          <w:sz w:val="22"/>
        </w:rPr>
        <w:t>Sic)</w:t>
      </w:r>
    </w:p>
    <w:p w:rsidR="00D66221"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se insiste en que lo procedente en relación con el </w:t>
      </w:r>
      <w:r w:rsidR="00A42D66">
        <w:rPr>
          <w:rFonts w:ascii="Palatino Linotype" w:hAnsi="Palatino Linotype" w:cs="Arial"/>
        </w:rPr>
        <w:t xml:space="preserve">inciso a) </w:t>
      </w:r>
      <w:r>
        <w:rPr>
          <w:rFonts w:ascii="Palatino Linotype" w:hAnsi="Palatino Linotype" w:cs="Arial"/>
        </w:rPr>
        <w:t>del Resolutivo SEGUNDO era que tanto en estudio como en resolutivos se precisara la temporalidad respecto de la cual se debería entregar la información, siendo esta del 11 de septiembre de 2006 al 14 de mayo de 2018, ello en atención a</w:t>
      </w:r>
      <w:r w:rsidR="00517DE2">
        <w:rPr>
          <w:rFonts w:ascii="Palatino Linotype" w:hAnsi="Palatino Linotype" w:cs="Arial"/>
        </w:rPr>
        <w:t xml:space="preserve"> </w:t>
      </w:r>
      <w:r>
        <w:rPr>
          <w:rFonts w:ascii="Palatino Linotype" w:hAnsi="Palatino Linotype" w:cs="Arial"/>
        </w:rPr>
        <w:t>l</w:t>
      </w:r>
      <w:r w:rsidR="00517DE2">
        <w:rPr>
          <w:rFonts w:ascii="Palatino Linotype" w:hAnsi="Palatino Linotype" w:cs="Arial"/>
        </w:rPr>
        <w:t>os</w:t>
      </w:r>
      <w:r>
        <w:rPr>
          <w:rFonts w:ascii="Palatino Linotype" w:hAnsi="Palatino Linotype" w:cs="Arial"/>
        </w:rPr>
        <w:t xml:space="preserve"> principio</w:t>
      </w:r>
      <w:r w:rsidR="00517DE2">
        <w:rPr>
          <w:rFonts w:ascii="Palatino Linotype" w:hAnsi="Palatino Linotype" w:cs="Arial"/>
        </w:rPr>
        <w:t>s de máxima publicidad, exhaustividad y congruencia.</w:t>
      </w:r>
    </w:p>
    <w:p w:rsidR="00A42D66" w:rsidRDefault="00A42D66" w:rsidP="00D66221">
      <w:pPr>
        <w:spacing w:before="100" w:beforeAutospacing="1" w:after="100" w:afterAutospacing="1" w:line="360" w:lineRule="auto"/>
        <w:jc w:val="both"/>
        <w:rPr>
          <w:rFonts w:ascii="Palatino Linotype" w:hAnsi="Palatino Linotype" w:cs="Arial"/>
        </w:rPr>
      </w:pPr>
    </w:p>
    <w:p w:rsidR="00A42D66" w:rsidRDefault="00A42D66" w:rsidP="00D66221">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D66221" w:rsidRPr="001950C9" w:rsidTr="00F56169">
        <w:trPr>
          <w:jc w:val="center"/>
        </w:trPr>
        <w:tc>
          <w:tcPr>
            <w:tcW w:w="4393" w:type="dxa"/>
          </w:tcPr>
          <w:p w:rsidR="00F63584" w:rsidRDefault="00F63584" w:rsidP="00F56169">
            <w:pPr>
              <w:jc w:val="center"/>
              <w:rPr>
                <w:rFonts w:ascii="Palatino Linotype" w:hAnsi="Palatino Linotype"/>
                <w:b/>
              </w:rPr>
            </w:pPr>
          </w:p>
          <w:p w:rsidR="00F63584" w:rsidRDefault="00F63584" w:rsidP="00F56169">
            <w:pPr>
              <w:jc w:val="center"/>
              <w:rPr>
                <w:rFonts w:ascii="Palatino Linotype" w:hAnsi="Palatino Linotype"/>
                <w:b/>
              </w:rPr>
            </w:pPr>
          </w:p>
          <w:p w:rsidR="00F63584" w:rsidRDefault="00F63584" w:rsidP="00F56169">
            <w:pPr>
              <w:jc w:val="center"/>
              <w:rPr>
                <w:rFonts w:ascii="Palatino Linotype" w:hAnsi="Palatino Linotype"/>
                <w:b/>
              </w:rPr>
            </w:pPr>
          </w:p>
          <w:p w:rsidR="00F63584" w:rsidRDefault="00F63584" w:rsidP="00F56169">
            <w:pPr>
              <w:jc w:val="center"/>
              <w:rPr>
                <w:rFonts w:ascii="Palatino Linotype" w:hAnsi="Palatino Linotype"/>
                <w:b/>
              </w:rPr>
            </w:pPr>
          </w:p>
          <w:p w:rsidR="00F63584" w:rsidRDefault="00F63584" w:rsidP="00F56169">
            <w:pPr>
              <w:jc w:val="center"/>
              <w:rPr>
                <w:rFonts w:ascii="Palatino Linotype" w:hAnsi="Palatino Linotype"/>
                <w:b/>
              </w:rPr>
            </w:pPr>
          </w:p>
          <w:p w:rsidR="00D66221" w:rsidRPr="001950C9" w:rsidRDefault="00D66221" w:rsidP="00F56169">
            <w:pPr>
              <w:jc w:val="center"/>
              <w:rPr>
                <w:rFonts w:ascii="Palatino Linotype" w:hAnsi="Palatino Linotype"/>
                <w:b/>
              </w:rPr>
            </w:pPr>
            <w:bookmarkStart w:id="7" w:name="_GoBack"/>
            <w:bookmarkEnd w:id="7"/>
            <w:r w:rsidRPr="001950C9">
              <w:rPr>
                <w:rFonts w:ascii="Palatino Linotype" w:hAnsi="Palatino Linotype"/>
                <w:b/>
              </w:rPr>
              <w:t>EVA ABAID YAPUR</w:t>
            </w:r>
          </w:p>
          <w:p w:rsidR="00D66221" w:rsidRDefault="00D66221" w:rsidP="00F63584">
            <w:pPr>
              <w:jc w:val="center"/>
              <w:rPr>
                <w:rFonts w:ascii="Palatino Linotype" w:hAnsi="Palatino Linotype"/>
                <w:b/>
              </w:rPr>
            </w:pPr>
            <w:r w:rsidRPr="001950C9">
              <w:rPr>
                <w:rFonts w:ascii="Palatino Linotype" w:hAnsi="Palatino Linotype"/>
                <w:b/>
              </w:rPr>
              <w:t>COMISIONADA</w:t>
            </w:r>
          </w:p>
          <w:p w:rsidR="009B2B3F" w:rsidRPr="001950C9" w:rsidRDefault="009B2B3F" w:rsidP="00F63584">
            <w:pPr>
              <w:jc w:val="center"/>
              <w:rPr>
                <w:rFonts w:ascii="Palatino Linotype" w:hAnsi="Palatino Linotype"/>
                <w:b/>
              </w:rPr>
            </w:pPr>
            <w:r>
              <w:rPr>
                <w:rFonts w:ascii="Palatino Linotype" w:hAnsi="Palatino Linotype" w:cs="Arial"/>
                <w:b/>
              </w:rPr>
              <w:t>(RÚBRICA)</w:t>
            </w:r>
          </w:p>
        </w:tc>
      </w:tr>
    </w:tbl>
    <w:p w:rsidR="00D66221" w:rsidRDefault="00D66221" w:rsidP="00D66221">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D66221" w:rsidRDefault="00D66221" w:rsidP="00D66221">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D66221" w:rsidRDefault="00D66221" w:rsidP="00D66221">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w:t>
      </w:r>
      <w:r w:rsidRPr="001950C9">
        <w:rPr>
          <w:rFonts w:ascii="Palatino Linotype" w:eastAsia="Calibri" w:hAnsi="Palatino Linotype" w:cs="Arial"/>
          <w:color w:val="000000" w:themeColor="text1"/>
          <w:sz w:val="20"/>
          <w:szCs w:val="20"/>
        </w:rPr>
        <w:t>el recurso de revisión 0</w:t>
      </w:r>
      <w:r w:rsidR="00A42D66">
        <w:rPr>
          <w:rFonts w:ascii="Palatino Linotype" w:eastAsia="Calibri" w:hAnsi="Palatino Linotype" w:cs="Arial"/>
          <w:color w:val="000000" w:themeColor="text1"/>
          <w:sz w:val="20"/>
          <w:szCs w:val="20"/>
        </w:rPr>
        <w:t>2133</w:t>
      </w:r>
      <w:r w:rsidRPr="001950C9">
        <w:rPr>
          <w:rFonts w:ascii="Palatino Linotype" w:eastAsia="Calibri" w:hAnsi="Palatino Linotype" w:cs="Arial"/>
          <w:color w:val="000000" w:themeColor="text1"/>
          <w:sz w:val="20"/>
          <w:szCs w:val="20"/>
        </w:rPr>
        <w:t>/INFOEM/IP/RR/201</w:t>
      </w:r>
      <w:r>
        <w:rPr>
          <w:rFonts w:ascii="Palatino Linotype" w:eastAsia="Calibri" w:hAnsi="Palatino Linotype" w:cs="Arial"/>
          <w:color w:val="000000" w:themeColor="text1"/>
          <w:sz w:val="20"/>
          <w:szCs w:val="20"/>
        </w:rPr>
        <w:t>8, aprobada</w:t>
      </w:r>
      <w:r w:rsidRPr="001950C9">
        <w:rPr>
          <w:rFonts w:ascii="Palatino Linotype" w:eastAsia="Calibri" w:hAnsi="Palatino Linotype" w:cs="Arial"/>
          <w:color w:val="000000" w:themeColor="text1"/>
          <w:sz w:val="20"/>
          <w:szCs w:val="20"/>
        </w:rPr>
        <w:t xml:space="preserve"> el</w:t>
      </w:r>
      <w:r>
        <w:rPr>
          <w:rFonts w:ascii="Palatino Linotype" w:eastAsia="Calibri" w:hAnsi="Palatino Linotype" w:cs="Arial"/>
          <w:color w:val="000000" w:themeColor="text1"/>
          <w:sz w:val="20"/>
          <w:szCs w:val="20"/>
        </w:rPr>
        <w:t xml:space="preserve"> </w:t>
      </w:r>
      <w:r w:rsidR="00A42D66">
        <w:rPr>
          <w:rFonts w:ascii="Palatino Linotype" w:eastAsia="Calibri" w:hAnsi="Palatino Linotype" w:cs="Arial"/>
          <w:color w:val="000000" w:themeColor="text1"/>
          <w:sz w:val="20"/>
          <w:szCs w:val="20"/>
        </w:rPr>
        <w:t xml:space="preserve">veintidós de </w:t>
      </w:r>
      <w:r>
        <w:rPr>
          <w:rFonts w:ascii="Palatino Linotype" w:eastAsia="Calibri" w:hAnsi="Palatino Linotype" w:cs="Arial"/>
          <w:color w:val="000000" w:themeColor="text1"/>
          <w:sz w:val="20"/>
          <w:szCs w:val="20"/>
        </w:rPr>
        <w:t>agosto de dos mil dieciocho</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D66221" w:rsidRDefault="00D66221" w:rsidP="00D66221">
      <w:pPr>
        <w:jc w:val="both"/>
      </w:pPr>
      <w:r w:rsidRPr="00C60EC0">
        <w:rPr>
          <w:rFonts w:ascii="Palatino Linotype" w:eastAsia="Calibri" w:hAnsi="Palatino Linotype" w:cs="Arial"/>
          <w:color w:val="000000" w:themeColor="text1"/>
          <w:sz w:val="18"/>
          <w:szCs w:val="18"/>
        </w:rPr>
        <w:t>YSM/A</w:t>
      </w:r>
      <w:r>
        <w:rPr>
          <w:rFonts w:ascii="Palatino Linotype" w:eastAsia="Calibri" w:hAnsi="Palatino Linotype" w:cs="Arial"/>
          <w:color w:val="000000" w:themeColor="text1"/>
          <w:sz w:val="18"/>
          <w:szCs w:val="18"/>
        </w:rPr>
        <w:t>MV</w:t>
      </w:r>
    </w:p>
    <w:sectPr w:rsidR="00D66221" w:rsidSect="00017A8B">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D27" w:rsidRDefault="00885D27" w:rsidP="00D66221">
      <w:r>
        <w:separator/>
      </w:r>
    </w:p>
  </w:endnote>
  <w:endnote w:type="continuationSeparator" w:id="0">
    <w:p w:rsidR="00885D27" w:rsidRDefault="00885D27" w:rsidP="00D6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85D27" w:rsidP="00DC5C4E">
    <w:pPr>
      <w:pStyle w:val="Piedepgina"/>
      <w:tabs>
        <w:tab w:val="clear" w:pos="4252"/>
        <w:tab w:val="left" w:pos="4228"/>
      </w:tabs>
      <w:rPr>
        <w:rFonts w:ascii="Palatino Linotype" w:hAnsi="Palatino Linotype" w:cs="Arial"/>
        <w:b/>
        <w:bCs/>
        <w:sz w:val="20"/>
        <w:szCs w:val="20"/>
      </w:rPr>
    </w:pPr>
  </w:p>
  <w:p w:rsidR="00A42D66" w:rsidRDefault="00A42D66" w:rsidP="00DC5C4E">
    <w:pPr>
      <w:pStyle w:val="Piedepgina"/>
      <w:tabs>
        <w:tab w:val="clear" w:pos="4252"/>
        <w:tab w:val="left" w:pos="4228"/>
      </w:tabs>
      <w:rPr>
        <w:rFonts w:ascii="Palatino Linotype" w:hAnsi="Palatino Linotype" w:cs="Arial"/>
        <w:b/>
        <w:bCs/>
        <w:sz w:val="20"/>
        <w:szCs w:val="20"/>
      </w:rPr>
    </w:pPr>
  </w:p>
  <w:p w:rsidR="005C7C8F" w:rsidRDefault="00885D27" w:rsidP="00DC5C4E">
    <w:pPr>
      <w:pStyle w:val="Piedepgina"/>
      <w:tabs>
        <w:tab w:val="clear" w:pos="4252"/>
        <w:tab w:val="left" w:pos="4228"/>
      </w:tabs>
      <w:rPr>
        <w:rFonts w:ascii="Palatino Linotype" w:hAnsi="Palatino Linotype" w:cs="Arial"/>
        <w:b/>
        <w:bCs/>
        <w:sz w:val="20"/>
        <w:szCs w:val="20"/>
      </w:rPr>
    </w:pPr>
  </w:p>
  <w:p w:rsidR="005C7C8F" w:rsidRDefault="00885D27" w:rsidP="00DC5C4E">
    <w:pPr>
      <w:pStyle w:val="Piedepgina"/>
      <w:tabs>
        <w:tab w:val="clear" w:pos="4252"/>
        <w:tab w:val="left" w:pos="4228"/>
      </w:tabs>
      <w:rPr>
        <w:rFonts w:ascii="Palatino Linotype" w:hAnsi="Palatino Linotype" w:cs="Arial"/>
        <w:b/>
        <w:bCs/>
        <w:sz w:val="20"/>
        <w:szCs w:val="20"/>
      </w:rPr>
    </w:pPr>
  </w:p>
  <w:p w:rsidR="005C7C8F" w:rsidRDefault="00885D27" w:rsidP="00DC5C4E">
    <w:pPr>
      <w:pStyle w:val="Piedepgina"/>
      <w:rPr>
        <w:rFonts w:ascii="Palatino Linotype" w:hAnsi="Palatino Linotype" w:cs="Arial"/>
        <w:b/>
        <w:bCs/>
        <w:sz w:val="20"/>
        <w:szCs w:val="20"/>
      </w:rPr>
    </w:pPr>
  </w:p>
  <w:p w:rsidR="005C7C8F" w:rsidRPr="00F12350" w:rsidRDefault="00E7697B"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B2B3F">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B2B3F">
      <w:rPr>
        <w:rFonts w:ascii="Palatino Linotype" w:hAnsi="Palatino Linotype" w:cs="Arial"/>
        <w:b/>
        <w:bCs/>
        <w:noProof/>
        <w:sz w:val="20"/>
        <w:szCs w:val="20"/>
      </w:rPr>
      <w:t>7</w:t>
    </w:r>
    <w:r w:rsidRPr="00F12350">
      <w:rPr>
        <w:rFonts w:ascii="Palatino Linotype" w:hAnsi="Palatino Linotype" w:cs="Arial"/>
        <w:b/>
        <w:bCs/>
        <w:sz w:val="20"/>
        <w:szCs w:val="20"/>
      </w:rPr>
      <w:fldChar w:fldCharType="end"/>
    </w:r>
  </w:p>
  <w:p w:rsidR="005C7C8F" w:rsidRDefault="00885D27"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D27" w:rsidRDefault="00885D27" w:rsidP="00D66221">
      <w:r>
        <w:separator/>
      </w:r>
    </w:p>
  </w:footnote>
  <w:footnote w:type="continuationSeparator" w:id="0">
    <w:p w:rsidR="00885D27" w:rsidRDefault="00885D27" w:rsidP="00D66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85D2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829" w:rsidRDefault="00E7697B"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4793BAC1" wp14:editId="09704A18">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C7C8F" w:rsidRDefault="00885D27" w:rsidP="00DC5C4E">
    <w:pPr>
      <w:pStyle w:val="Encabezado"/>
      <w:tabs>
        <w:tab w:val="clear" w:pos="4252"/>
        <w:tab w:val="clear" w:pos="8504"/>
        <w:tab w:val="left" w:pos="2326"/>
      </w:tabs>
      <w:jc w:val="right"/>
    </w:pPr>
  </w:p>
  <w:p w:rsidR="005C7C8F" w:rsidRDefault="00E7697B" w:rsidP="00DC5C4E">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5C7C8F" w:rsidRDefault="00E7697B" w:rsidP="00DC5C4E">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Pr>
        <w:rFonts w:ascii="Palatino Linotype" w:hAnsi="Palatino Linotype" w:cs="Arial"/>
        <w:sz w:val="20"/>
        <w:szCs w:val="20"/>
      </w:rPr>
      <w:t>0</w:t>
    </w:r>
    <w:r w:rsidR="00D66221">
      <w:rPr>
        <w:rFonts w:ascii="Palatino Linotype" w:hAnsi="Palatino Linotype" w:cs="Arial"/>
        <w:sz w:val="20"/>
        <w:szCs w:val="20"/>
      </w:rPr>
      <w:t>2133</w:t>
    </w:r>
    <w:r>
      <w:rPr>
        <w:rFonts w:ascii="Palatino Linotype" w:hAnsi="Palatino Linotype" w:cs="Arial"/>
        <w:sz w:val="20"/>
        <w:szCs w:val="20"/>
      </w:rPr>
      <w:t>/INFOEM/IP</w:t>
    </w:r>
    <w:r w:rsidRPr="00706042">
      <w:rPr>
        <w:rFonts w:ascii="Palatino Linotype" w:hAnsi="Palatino Linotype" w:cs="Arial"/>
        <w:sz w:val="20"/>
        <w:szCs w:val="20"/>
      </w:rPr>
      <w:t>/RR/201</w:t>
    </w:r>
    <w:r>
      <w:rPr>
        <w:rFonts w:ascii="Palatino Linotype" w:hAnsi="Palatino Linotype" w:cs="Arial"/>
        <w:sz w:val="20"/>
        <w:szCs w:val="20"/>
      </w:rPr>
      <w:t>8</w:t>
    </w:r>
  </w:p>
  <w:p w:rsidR="002E3829" w:rsidRDefault="00885D27"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62.95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85D2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B142BC"/>
    <w:multiLevelType w:val="hybridMultilevel"/>
    <w:tmpl w:val="F7BC9532"/>
    <w:lvl w:ilvl="0" w:tplc="DF929E6A">
      <w:start w:val="1"/>
      <w:numFmt w:val="lowerLetter"/>
      <w:lvlText w:val="%1)"/>
      <w:lvlJc w:val="left"/>
      <w:pPr>
        <w:ind w:left="5606" w:hanging="360"/>
      </w:pPr>
      <w:rPr>
        <w:rFonts w:eastAsia="Times New Roman" w:hint="default"/>
        <w:color w:val="000000"/>
      </w:rPr>
    </w:lvl>
    <w:lvl w:ilvl="1" w:tplc="080A0019" w:tentative="1">
      <w:start w:val="1"/>
      <w:numFmt w:val="lowerLetter"/>
      <w:lvlText w:val="%2."/>
      <w:lvlJc w:val="left"/>
      <w:pPr>
        <w:ind w:left="6326" w:hanging="360"/>
      </w:pPr>
    </w:lvl>
    <w:lvl w:ilvl="2" w:tplc="080A001B" w:tentative="1">
      <w:start w:val="1"/>
      <w:numFmt w:val="lowerRoman"/>
      <w:lvlText w:val="%3."/>
      <w:lvlJc w:val="right"/>
      <w:pPr>
        <w:ind w:left="7046" w:hanging="180"/>
      </w:pPr>
    </w:lvl>
    <w:lvl w:ilvl="3" w:tplc="080A000F" w:tentative="1">
      <w:start w:val="1"/>
      <w:numFmt w:val="decimal"/>
      <w:lvlText w:val="%4."/>
      <w:lvlJc w:val="left"/>
      <w:pPr>
        <w:ind w:left="7766" w:hanging="360"/>
      </w:pPr>
    </w:lvl>
    <w:lvl w:ilvl="4" w:tplc="080A0019" w:tentative="1">
      <w:start w:val="1"/>
      <w:numFmt w:val="lowerLetter"/>
      <w:lvlText w:val="%5."/>
      <w:lvlJc w:val="left"/>
      <w:pPr>
        <w:ind w:left="8486" w:hanging="360"/>
      </w:pPr>
    </w:lvl>
    <w:lvl w:ilvl="5" w:tplc="080A001B" w:tentative="1">
      <w:start w:val="1"/>
      <w:numFmt w:val="lowerRoman"/>
      <w:lvlText w:val="%6."/>
      <w:lvlJc w:val="right"/>
      <w:pPr>
        <w:ind w:left="9206" w:hanging="180"/>
      </w:pPr>
    </w:lvl>
    <w:lvl w:ilvl="6" w:tplc="080A000F" w:tentative="1">
      <w:start w:val="1"/>
      <w:numFmt w:val="decimal"/>
      <w:lvlText w:val="%7."/>
      <w:lvlJc w:val="left"/>
      <w:pPr>
        <w:ind w:left="9926" w:hanging="360"/>
      </w:pPr>
    </w:lvl>
    <w:lvl w:ilvl="7" w:tplc="080A0019" w:tentative="1">
      <w:start w:val="1"/>
      <w:numFmt w:val="lowerLetter"/>
      <w:lvlText w:val="%8."/>
      <w:lvlJc w:val="left"/>
      <w:pPr>
        <w:ind w:left="10646" w:hanging="360"/>
      </w:pPr>
    </w:lvl>
    <w:lvl w:ilvl="8" w:tplc="080A001B" w:tentative="1">
      <w:start w:val="1"/>
      <w:numFmt w:val="lowerRoman"/>
      <w:lvlText w:val="%9."/>
      <w:lvlJc w:val="right"/>
      <w:pPr>
        <w:ind w:left="11366" w:hanging="180"/>
      </w:pPr>
    </w:lvl>
  </w:abstractNum>
  <w:abstractNum w:abstractNumId="1" w15:restartNumberingAfterBreak="0">
    <w:nsid w:val="7D9E68FC"/>
    <w:multiLevelType w:val="hybridMultilevel"/>
    <w:tmpl w:val="956236E0"/>
    <w:lvl w:ilvl="0" w:tplc="78386808">
      <w:start w:val="1"/>
      <w:numFmt w:val="decimal"/>
      <w:lvlText w:val="%1."/>
      <w:lvlJc w:val="left"/>
      <w:pPr>
        <w:ind w:left="6173" w:hanging="360"/>
      </w:pPr>
      <w:rPr>
        <w:rFonts w:cs="Times New Roman" w:hint="default"/>
        <w:color w:val="000000"/>
        <w:sz w:val="24"/>
      </w:rPr>
    </w:lvl>
    <w:lvl w:ilvl="1" w:tplc="080A0019" w:tentative="1">
      <w:start w:val="1"/>
      <w:numFmt w:val="lowerLetter"/>
      <w:lvlText w:val="%2."/>
      <w:lvlJc w:val="left"/>
      <w:pPr>
        <w:ind w:left="6893" w:hanging="360"/>
      </w:pPr>
    </w:lvl>
    <w:lvl w:ilvl="2" w:tplc="080A001B" w:tentative="1">
      <w:start w:val="1"/>
      <w:numFmt w:val="lowerRoman"/>
      <w:lvlText w:val="%3."/>
      <w:lvlJc w:val="right"/>
      <w:pPr>
        <w:ind w:left="7613" w:hanging="180"/>
      </w:pPr>
    </w:lvl>
    <w:lvl w:ilvl="3" w:tplc="080A000F" w:tentative="1">
      <w:start w:val="1"/>
      <w:numFmt w:val="decimal"/>
      <w:lvlText w:val="%4."/>
      <w:lvlJc w:val="left"/>
      <w:pPr>
        <w:ind w:left="8333" w:hanging="360"/>
      </w:pPr>
    </w:lvl>
    <w:lvl w:ilvl="4" w:tplc="080A0019" w:tentative="1">
      <w:start w:val="1"/>
      <w:numFmt w:val="lowerLetter"/>
      <w:lvlText w:val="%5."/>
      <w:lvlJc w:val="left"/>
      <w:pPr>
        <w:ind w:left="9053" w:hanging="360"/>
      </w:pPr>
    </w:lvl>
    <w:lvl w:ilvl="5" w:tplc="080A001B" w:tentative="1">
      <w:start w:val="1"/>
      <w:numFmt w:val="lowerRoman"/>
      <w:lvlText w:val="%6."/>
      <w:lvlJc w:val="right"/>
      <w:pPr>
        <w:ind w:left="9773" w:hanging="180"/>
      </w:pPr>
    </w:lvl>
    <w:lvl w:ilvl="6" w:tplc="080A000F" w:tentative="1">
      <w:start w:val="1"/>
      <w:numFmt w:val="decimal"/>
      <w:lvlText w:val="%7."/>
      <w:lvlJc w:val="left"/>
      <w:pPr>
        <w:ind w:left="10493" w:hanging="360"/>
      </w:pPr>
    </w:lvl>
    <w:lvl w:ilvl="7" w:tplc="080A0019" w:tentative="1">
      <w:start w:val="1"/>
      <w:numFmt w:val="lowerLetter"/>
      <w:lvlText w:val="%8."/>
      <w:lvlJc w:val="left"/>
      <w:pPr>
        <w:ind w:left="11213" w:hanging="360"/>
      </w:pPr>
    </w:lvl>
    <w:lvl w:ilvl="8" w:tplc="080A001B" w:tentative="1">
      <w:start w:val="1"/>
      <w:numFmt w:val="lowerRoman"/>
      <w:lvlText w:val="%9."/>
      <w:lvlJc w:val="right"/>
      <w:pPr>
        <w:ind w:left="1193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221"/>
    <w:rsid w:val="00517DE2"/>
    <w:rsid w:val="00611411"/>
    <w:rsid w:val="006C12C4"/>
    <w:rsid w:val="0078785E"/>
    <w:rsid w:val="0085043C"/>
    <w:rsid w:val="00885D27"/>
    <w:rsid w:val="009B2B3F"/>
    <w:rsid w:val="00A42D66"/>
    <w:rsid w:val="00C23920"/>
    <w:rsid w:val="00C23B43"/>
    <w:rsid w:val="00C9714C"/>
    <w:rsid w:val="00D66221"/>
    <w:rsid w:val="00E7697B"/>
    <w:rsid w:val="00E970C1"/>
    <w:rsid w:val="00F635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8E5934E-29B2-48B3-90AA-668BFEBB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22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1141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622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66221"/>
    <w:rPr>
      <w:rFonts w:eastAsiaTheme="minorEastAsia"/>
      <w:sz w:val="24"/>
      <w:szCs w:val="24"/>
      <w:lang w:val="es-ES_tradnl" w:eastAsia="es-ES"/>
    </w:rPr>
  </w:style>
  <w:style w:type="paragraph" w:styleId="Piedepgina">
    <w:name w:val="footer"/>
    <w:basedOn w:val="Normal"/>
    <w:link w:val="PiedepginaCar"/>
    <w:uiPriority w:val="99"/>
    <w:unhideWhenUsed/>
    <w:rsid w:val="00D6622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66221"/>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66221"/>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66221"/>
    <w:pPr>
      <w:ind w:left="708"/>
    </w:pPr>
    <w:rPr>
      <w:sz w:val="22"/>
      <w:szCs w:val="22"/>
      <w:lang w:eastAsia="en-US"/>
    </w:rPr>
  </w:style>
  <w:style w:type="paragraph" w:customStyle="1" w:styleId="j">
    <w:name w:val="j"/>
    <w:basedOn w:val="Normal"/>
    <w:rsid w:val="00D66221"/>
    <w:pPr>
      <w:spacing w:before="100" w:beforeAutospacing="1" w:after="100" w:afterAutospacing="1"/>
    </w:pPr>
    <w:rPr>
      <w:lang w:val="es-MX" w:eastAsia="es-MX"/>
    </w:rPr>
  </w:style>
  <w:style w:type="character" w:customStyle="1" w:styleId="nacep">
    <w:name w:val="n_acep"/>
    <w:basedOn w:val="Fuentedeprrafopredeter"/>
    <w:rsid w:val="00D66221"/>
  </w:style>
  <w:style w:type="character" w:customStyle="1" w:styleId="u">
    <w:name w:val="u"/>
    <w:basedOn w:val="Fuentedeprrafopredeter"/>
    <w:rsid w:val="00D66221"/>
  </w:style>
  <w:style w:type="character" w:customStyle="1" w:styleId="Ttulo2Car">
    <w:name w:val="Título 2 Car"/>
    <w:basedOn w:val="Fuentedeprrafopredeter"/>
    <w:link w:val="Ttulo2"/>
    <w:uiPriority w:val="9"/>
    <w:rsid w:val="00611411"/>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A42D6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2D66"/>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Pages>
  <Words>1144</Words>
  <Characters>6295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4</cp:revision>
  <cp:lastPrinted>2018-08-24T21:54:00Z</cp:lastPrinted>
  <dcterms:created xsi:type="dcterms:W3CDTF">2018-08-24T16:05:00Z</dcterms:created>
  <dcterms:modified xsi:type="dcterms:W3CDTF">2018-10-11T01:40:00Z</dcterms:modified>
</cp:coreProperties>
</file>